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Politique de confidentialité</w:t>
      </w:r>
    </w:p>
    <w:p>
      <w:pPr>
        <w:spacing w:after="200"/>
      </w:pPr>
      <w:r>
        <w:rPr>
          <w:i/>
          <w:color w:val="657276"/>
          <w:sz w:val="21"/>
        </w:rPr>
        <w:t>Information relative à la protection de vos données personnelles</w:t>
      </w:r>
    </w:p>
    <w:tbl>
      <w:tblPr>
        <w:tblW w:type="auto" w:w="0"/>
        <w:jc w:val="center"/>
        <w:tblLook w:firstColumn="1" w:firstRow="1" w:lastColumn="0" w:lastRow="0" w:noHBand="0" w:noVBand="1" w:val="04A0"/>
      </w:tblPr>
      <w:tblGrid>
        <w:gridCol w:w="9866"/>
      </w:tblGrid>
      <w:tr>
        <w:tc>
          <w:tcPr>
            <w:tcW w:type="dxa" w:w="9866"/>
            <w:shd w:fill="EAF3F1"/>
            <w:tcMar>
              <w:top w:w="150" w:type="dxa"/>
              <w:start w:w="180" w:type="dxa"/>
              <w:bottom w:w="150" w:type="dxa"/>
              <w:end w:w="180" w:type="dxa"/>
            </w:tcMar>
          </w:tcPr>
          <w:p>
            <w:pPr>
              <w:spacing w:after="0"/>
            </w:pPr>
            <w:r>
              <w:rPr>
                <w:b/>
              </w:rPr>
              <w:t xml:space="preserve">Responsable du traitement : </w:t>
            </w:r>
            <w:r>
              <w:t>Veronica Marie Elisabeth Brown, entrepreneur individuel — nom commercial ALIGNÉE®</w:t>
              <w:br/>
            </w:r>
            <w:r>
              <w:rPr>
                <w:b/>
              </w:rPr>
              <w:t xml:space="preserve">Adresse : </w:t>
            </w:r>
            <w:r>
              <w:t>8 villa du Progrès, 94230 Cachan</w:t>
              <w:br/>
            </w:r>
            <w:r>
              <w:rPr>
                <w:b/>
              </w:rPr>
              <w:t xml:space="preserve">SIRET : </w:t>
            </w:r>
            <w:r>
              <w:t xml:space="preserve">389 613 886 00081  |  </w:t>
            </w:r>
            <w:r>
              <w:rPr>
                <w:b/>
              </w:rPr>
              <w:t xml:space="preserve">Contact : </w:t>
            </w:r>
            <w:r>
              <w:t>contact@veronica-brown.fr — 06 10 27 11 85</w:t>
            </w:r>
          </w:p>
        </w:tc>
      </w:tr>
    </w:tbl>
    <w:p>
      <w:pPr>
        <w:pStyle w:val="Heading1"/>
      </w:pPr>
      <w:r>
        <w:t>1. Objet de cette politique</w:t>
      </w:r>
    </w:p>
    <w:p>
      <w:r>
        <w:t>La présente politique explique comment vos données personnelles sont collectées et utilisées lorsque vous consultez le site veronica-brown.fr, demandez des informations, réservez ou achetez une prestation, vous inscrivez à une formation, participez à un accompagnement ou échangez avec ALIGNÉE®.</w:t>
      </w:r>
    </w:p>
    <w:p>
      <w:pPr>
        <w:pStyle w:val="Heading1"/>
      </w:pPr>
      <w:r>
        <w:t>2. Données susceptibles d’être collectées</w:t>
      </w:r>
    </w:p>
    <w:p>
      <w:pPr>
        <w:pStyle w:val="ListBullet"/>
      </w:pPr>
      <w:r>
        <w:t>Identité et coordonnées : nom, prénom, adresse postale, adresse électronique, téléphone.</w:t>
      </w:r>
    </w:p>
    <w:p>
      <w:pPr>
        <w:pStyle w:val="ListBullet"/>
      </w:pPr>
      <w:r>
        <w:t>Données liées à une demande, une inscription ou une relation contractuelle : prestation choisie, dates, échanges, documents transmis, présence et suivi pédagogique lorsque cela est nécessaire.</w:t>
      </w:r>
    </w:p>
    <w:p>
      <w:pPr>
        <w:pStyle w:val="ListBullet"/>
      </w:pPr>
      <w:r>
        <w:t>Données de facturation et de paiement : informations nécessaires aux devis, contrats, factures et règlements. Les données complètes de carte bancaire sont traitées par le prestataire de paiement et ne sont pas conservées par ALIGNÉE®.</w:t>
      </w:r>
    </w:p>
    <w:p>
      <w:pPr>
        <w:pStyle w:val="ListBullet"/>
      </w:pPr>
      <w:r>
        <w:t>Données de communication : messages, demandes envoyées par formulaire, courriel ou messagerie, réponses aux questionnaires et avis lorsque vous choisissez d’en transmettre.</w:t>
      </w:r>
    </w:p>
    <w:p>
      <w:pPr>
        <w:pStyle w:val="ListBullet"/>
      </w:pPr>
      <w:r>
        <w:t>Données techniques : adresse IP, journaux de connexion, type d’appareil ou de navigateur et informations issues des cookies et traceurs, selon vos choix.</w:t>
      </w:r>
    </w:p>
    <w:p>
      <w:r>
        <w:t>Il vous est demandé de ne pas communiquer de données sensibles ou de santé qui ne seraient pas strictement nécessaires. Si une information particulière est indispensable à votre prise en charge, vous serez informé(e) de son usage.</w:t>
      </w:r>
    </w:p>
    <w:p>
      <w:pPr>
        <w:pStyle w:val="Heading1"/>
      </w:pPr>
      <w:r>
        <w:t>3. Finalités et bases juridiques</w:t>
      </w:r>
    </w:p>
    <w:tbl>
      <w:tblPr>
        <w:tblStyle w:val="TableGrid"/>
        <w:tblW w:type="auto" w:w="0"/>
        <w:jc w:val="center"/>
        <w:tblLook w:firstColumn="1" w:firstRow="1" w:lastColumn="0" w:lastRow="0" w:noHBand="0" w:noVBand="1" w:val="04A0"/>
      </w:tblPr>
      <w:tblGrid>
        <w:gridCol w:w="6633"/>
        <w:gridCol w:w="2948"/>
      </w:tblGrid>
      <w:tr>
        <w:tc>
          <w:tcPr>
            <w:tcW w:type="dxa" w:w="4933"/>
            <w:shd w:fill="266B68"/>
            <w:tcMar>
              <w:top w:w="110" w:type="dxa"/>
              <w:start w:w="130" w:type="dxa"/>
              <w:bottom w:w="110" w:type="dxa"/>
              <w:end w:w="130" w:type="dxa"/>
            </w:tcMar>
            <w:vAlign w:val="center"/>
          </w:tcPr>
          <w:p>
            <w:r>
              <w:rPr>
                <w:b/>
                <w:color w:val="FFFFFF"/>
              </w:rPr>
              <w:t>Utilisation des données</w:t>
            </w:r>
          </w:p>
        </w:tc>
        <w:tc>
          <w:tcPr>
            <w:tcW w:type="dxa" w:w="4933"/>
            <w:shd w:fill="266B68"/>
            <w:tcMar>
              <w:top w:w="110" w:type="dxa"/>
              <w:start w:w="130" w:type="dxa"/>
              <w:bottom w:w="110" w:type="dxa"/>
              <w:end w:w="130" w:type="dxa"/>
            </w:tcMar>
            <w:vAlign w:val="center"/>
          </w:tcPr>
          <w:p>
            <w:r>
              <w:rPr>
                <w:b/>
                <w:color w:val="FFFFFF"/>
              </w:rPr>
              <w:t>Base juridique</w:t>
            </w:r>
          </w:p>
        </w:tc>
      </w:tr>
      <w:tr>
        <w:tc>
          <w:tcPr>
            <w:tcW w:type="dxa" w:w="6633"/>
            <w:tcMar>
              <w:top w:w="80" w:type="dxa"/>
              <w:start w:w="110" w:type="dxa"/>
              <w:bottom w:w="80" w:type="dxa"/>
              <w:end w:w="110" w:type="dxa"/>
            </w:tcMar>
            <w:vAlign w:val="center"/>
          </w:tcPr>
          <w:p>
            <w:r>
              <w:t>Répondre à vos demandes et assurer le suivi précontractuel</w:t>
            </w:r>
          </w:p>
        </w:tc>
        <w:tc>
          <w:tcPr>
            <w:tcW w:type="dxa" w:w="2948"/>
            <w:tcMar>
              <w:top w:w="80" w:type="dxa"/>
              <w:start w:w="110" w:type="dxa"/>
              <w:bottom w:w="80" w:type="dxa"/>
              <w:end w:w="110" w:type="dxa"/>
            </w:tcMar>
            <w:vAlign w:val="center"/>
          </w:tcPr>
          <w:p>
            <w:r>
              <w:t>Mesures précontractuelles</w:t>
            </w:r>
          </w:p>
        </w:tc>
      </w:tr>
      <w:tr>
        <w:tc>
          <w:tcPr>
            <w:tcW w:type="dxa" w:w="6633"/>
            <w:tcMar>
              <w:top w:w="80" w:type="dxa"/>
              <w:start w:w="110" w:type="dxa"/>
              <w:bottom w:w="80" w:type="dxa"/>
              <w:end w:w="110" w:type="dxa"/>
            </w:tcMar>
            <w:vAlign w:val="center"/>
            <w:shd w:fill="F7F9F9"/>
          </w:tcPr>
          <w:p>
            <w:r>
              <w:t>Gérer les réservations, inscriptions, formations, accompagnements, accès aux contenus et échanges</w:t>
            </w:r>
          </w:p>
        </w:tc>
        <w:tc>
          <w:tcPr>
            <w:tcW w:type="dxa" w:w="2948"/>
            <w:tcMar>
              <w:top w:w="80" w:type="dxa"/>
              <w:start w:w="110" w:type="dxa"/>
              <w:bottom w:w="80" w:type="dxa"/>
              <w:end w:w="110" w:type="dxa"/>
            </w:tcMar>
            <w:vAlign w:val="center"/>
            <w:shd w:fill="F7F9F9"/>
          </w:tcPr>
          <w:p>
            <w:r>
              <w:t>Exécution du contrat</w:t>
            </w:r>
          </w:p>
        </w:tc>
      </w:tr>
      <w:tr>
        <w:tc>
          <w:tcPr>
            <w:tcW w:type="dxa" w:w="6633"/>
            <w:tcMar>
              <w:top w:w="80" w:type="dxa"/>
              <w:start w:w="110" w:type="dxa"/>
              <w:bottom w:w="80" w:type="dxa"/>
              <w:end w:w="110" w:type="dxa"/>
            </w:tcMar>
            <w:vAlign w:val="center"/>
          </w:tcPr>
          <w:p>
            <w:r>
              <w:t>Établir les devis, contrats, conventions, attestations, factures et pièces comptables</w:t>
            </w:r>
          </w:p>
        </w:tc>
        <w:tc>
          <w:tcPr>
            <w:tcW w:type="dxa" w:w="2948"/>
            <w:tcMar>
              <w:top w:w="80" w:type="dxa"/>
              <w:start w:w="110" w:type="dxa"/>
              <w:bottom w:w="80" w:type="dxa"/>
              <w:end w:w="110" w:type="dxa"/>
            </w:tcMar>
            <w:vAlign w:val="center"/>
          </w:tcPr>
          <w:p>
            <w:r>
              <w:t>Contrat et obligations légales</w:t>
            </w:r>
          </w:p>
        </w:tc>
      </w:tr>
      <w:tr>
        <w:tc>
          <w:tcPr>
            <w:tcW w:type="dxa" w:w="6633"/>
            <w:tcMar>
              <w:top w:w="80" w:type="dxa"/>
              <w:start w:w="110" w:type="dxa"/>
              <w:bottom w:w="80" w:type="dxa"/>
              <w:end w:w="110" w:type="dxa"/>
            </w:tcMar>
            <w:vAlign w:val="center"/>
            <w:shd w:fill="F7F9F9"/>
          </w:tcPr>
          <w:p>
            <w:r>
              <w:t>Assurer le service client, la sécurité du site et prévenir les abus ou impayés</w:t>
            </w:r>
          </w:p>
        </w:tc>
        <w:tc>
          <w:tcPr>
            <w:tcW w:type="dxa" w:w="2948"/>
            <w:tcMar>
              <w:top w:w="80" w:type="dxa"/>
              <w:start w:w="110" w:type="dxa"/>
              <w:bottom w:w="80" w:type="dxa"/>
              <w:end w:w="110" w:type="dxa"/>
            </w:tcMar>
            <w:vAlign w:val="center"/>
            <w:shd w:fill="F7F9F9"/>
          </w:tcPr>
          <w:p>
            <w:r>
              <w:t>Intérêt légitime</w:t>
            </w:r>
          </w:p>
        </w:tc>
      </w:tr>
      <w:tr>
        <w:tc>
          <w:tcPr>
            <w:tcW w:type="dxa" w:w="6633"/>
            <w:tcMar>
              <w:top w:w="80" w:type="dxa"/>
              <w:start w:w="110" w:type="dxa"/>
              <w:bottom w:w="80" w:type="dxa"/>
              <w:end w:w="110" w:type="dxa"/>
            </w:tcMar>
            <w:vAlign w:val="center"/>
          </w:tcPr>
          <w:p>
            <w:r>
              <w:t>Envoyer une newsletter ou des offres à des prospects</w:t>
            </w:r>
          </w:p>
        </w:tc>
        <w:tc>
          <w:tcPr>
            <w:tcW w:type="dxa" w:w="2948"/>
            <w:tcMar>
              <w:top w:w="80" w:type="dxa"/>
              <w:start w:w="110" w:type="dxa"/>
              <w:bottom w:w="80" w:type="dxa"/>
              <w:end w:w="110" w:type="dxa"/>
            </w:tcMar>
            <w:vAlign w:val="center"/>
          </w:tcPr>
          <w:p>
            <w:r>
              <w:t>Consentement</w:t>
            </w:r>
          </w:p>
        </w:tc>
      </w:tr>
      <w:tr>
        <w:tc>
          <w:tcPr>
            <w:tcW w:type="dxa" w:w="6633"/>
            <w:tcMar>
              <w:top w:w="80" w:type="dxa"/>
              <w:start w:w="110" w:type="dxa"/>
              <w:bottom w:w="80" w:type="dxa"/>
              <w:end w:w="110" w:type="dxa"/>
            </w:tcMar>
            <w:vAlign w:val="center"/>
            <w:shd w:fill="F7F9F9"/>
          </w:tcPr>
          <w:p>
            <w:r>
              <w:t>Informer les clients de services analogues, avec possibilité d’opposition à tout moment</w:t>
            </w:r>
          </w:p>
        </w:tc>
        <w:tc>
          <w:tcPr>
            <w:tcW w:type="dxa" w:w="2948"/>
            <w:tcMar>
              <w:top w:w="80" w:type="dxa"/>
              <w:start w:w="110" w:type="dxa"/>
              <w:bottom w:w="80" w:type="dxa"/>
              <w:end w:w="110" w:type="dxa"/>
            </w:tcMar>
            <w:vAlign w:val="center"/>
            <w:shd w:fill="F7F9F9"/>
          </w:tcPr>
          <w:p>
            <w:r>
              <w:t>Intérêt légitime, dans les limites légales</w:t>
            </w:r>
          </w:p>
        </w:tc>
      </w:tr>
      <w:tr>
        <w:tc>
          <w:tcPr>
            <w:tcW w:type="dxa" w:w="6633"/>
            <w:tcMar>
              <w:top w:w="80" w:type="dxa"/>
              <w:start w:w="110" w:type="dxa"/>
              <w:bottom w:w="80" w:type="dxa"/>
              <w:end w:w="110" w:type="dxa"/>
            </w:tcMar>
            <w:vAlign w:val="center"/>
          </w:tcPr>
          <w:p>
            <w:r>
              <w:t>Déposer des cookies non nécessaires, mesurer l’audience personnalisée ou afficher des contenus tiers</w:t>
            </w:r>
          </w:p>
        </w:tc>
        <w:tc>
          <w:tcPr>
            <w:tcW w:type="dxa" w:w="2948"/>
            <w:tcMar>
              <w:top w:w="80" w:type="dxa"/>
              <w:start w:w="110" w:type="dxa"/>
              <w:bottom w:w="80" w:type="dxa"/>
              <w:end w:w="110" w:type="dxa"/>
            </w:tcMar>
            <w:vAlign w:val="center"/>
          </w:tcPr>
          <w:p>
            <w:r>
              <w:t>Consentement</w:t>
            </w:r>
          </w:p>
        </w:tc>
      </w:tr>
    </w:tbl>
    <w:p>
      <w:pPr>
        <w:pStyle w:val="Heading1"/>
      </w:pPr>
      <w:r>
        <w:t>4. Caractère obligatoire des informations</w:t>
      </w:r>
    </w:p>
    <w:p>
      <w:r>
        <w:t>Les champs signalés comme obligatoires sont nécessaires pour répondre à votre demande ou exécuter la prestation. Sans ces informations, ALIGNÉE® peut ne pas être en mesure de traiter la demande ou l’inscription. Les autres champs sont facultatifs.</w:t>
      </w:r>
    </w:p>
    <w:p>
      <w:pPr>
        <w:pStyle w:val="Heading1"/>
      </w:pPr>
      <w:r>
        <w:t>5. Destinataires et prestataires</w:t>
      </w:r>
    </w:p>
    <w:p>
      <w:r>
        <w:t>Les données sont accessibles à Veronica Brown et, seulement lorsque cela est nécessaire, aux prestataires techniques intervenant pour le site, l’hébergement, les formulaires, les paiements, l’espace de formation, les visioconférences, les communications et la comptabilité. Selon le service utilisé, il peut notamment s’agir de Wix, Stripe, Podia, Zoom et WhatsApp/Meta. Chaque prestataire n’accède qu’aux données utiles à sa mission et agit conformément à ses propres engagements de protection des données.</w:t>
      </w:r>
    </w:p>
    <w:p>
      <w:r>
        <w:t>Les données peuvent également être transmises aux administrations, autorités ou auxiliaires de justice lorsqu’une obligation légale l’impose ou pour constater, exercer ou défendre un droit. Elles ne sont ni vendues ni louées.</w:t>
      </w:r>
    </w:p>
    <w:p>
      <w:pPr>
        <w:pStyle w:val="Heading1"/>
      </w:pPr>
      <w:r>
        <w:t>6. Transferts hors de l’Espace économique européen</w:t>
      </w:r>
    </w:p>
    <w:p>
      <w:r>
        <w:t>Certains prestataires peuvent traiter des données en dehors de l’Espace économique européen. Dans ce cas, les transferts reposent sur un mécanisme reconnu par le RGPD, tel qu’une décision d’adéquation ou des clauses contractuelles types de la Commission européenne, complétées si nécessaire par des mesures de protection. Les précisions propres à chaque outil figurent dans la politique de confidentialité du prestataire concerné.</w:t>
      </w:r>
    </w:p>
    <w:p>
      <w:pPr>
        <w:pStyle w:val="Heading1"/>
      </w:pPr>
      <w:r>
        <w:t>7. Durées de conservation</w:t>
      </w:r>
    </w:p>
    <w:p>
      <w:pPr>
        <w:pStyle w:val="ListBullet"/>
      </w:pPr>
      <w:r>
        <w:t>Demandes sans suite et prospection : jusqu’à 3 ans à compter du dernier contact émanant de votre part, sauf opposition antérieure.</w:t>
      </w:r>
    </w:p>
    <w:p>
      <w:pPr>
        <w:pStyle w:val="ListBullet"/>
      </w:pPr>
      <w:r>
        <w:t>Données clients utilisées à des fins de prospection : pendant la relation contractuelle puis jusqu’à 3 ans après sa fin, sauf opposition.</w:t>
      </w:r>
    </w:p>
    <w:p>
      <w:pPr>
        <w:pStyle w:val="ListBullet"/>
      </w:pPr>
      <w:r>
        <w:t>Contrats et éléments nécessaires à la défense des droits : pendant la relation puis, en principe, 5 ans après sa fin, sous réserve d’une durée légale différente.</w:t>
      </w:r>
    </w:p>
    <w:p>
      <w:pPr>
        <w:pStyle w:val="ListBullet"/>
      </w:pPr>
      <w:r>
        <w:t>Factures et pièces comptables : 10 ans à compter de la clôture de l’exercice concerné.</w:t>
      </w:r>
    </w:p>
    <w:p>
      <w:pPr>
        <w:pStyle w:val="ListBullet"/>
      </w:pPr>
      <w:r>
        <w:t>Données pédagogiques et justificatifs liés à une formation : pendant la durée nécessaire au suivi, aux obligations administratives et aux contrôles applicables.</w:t>
      </w:r>
    </w:p>
    <w:p>
      <w:pPr>
        <w:pStyle w:val="ListBullet"/>
      </w:pPr>
      <w:r>
        <w:t>Cookies et choix de consentement : selon la durée indiquée par l’outil de gestion des cookies ; le choix accepter/refuser est en principe redemandé après 6 mois.</w:t>
      </w:r>
    </w:p>
    <w:p>
      <w:r>
        <w:t>À l’issue de ces délais, les données sont supprimées ou archivées avec un accès limité lorsqu’une conservation demeure nécessaire.</w:t>
      </w:r>
    </w:p>
    <w:p>
      <w:pPr>
        <w:pStyle w:val="Heading1"/>
      </w:pPr>
      <w:r>
        <w:t>8. Cookies et traceurs</w:t>
      </w:r>
    </w:p>
    <w:p>
      <w:r>
        <w:t>Les cookies strictement nécessaires au fonctionnement du site peuvent être déposés sans consentement. Les cookies de mesure d’audience non exemptés, publicitaires, de réseaux sociaux ou liés à des contenus tiers ne sont déposés qu’après votre accord. Vous devez pouvoir accepter ou refuser avec la même facilité et modifier votre choix à tout moment depuis le module « Gestion des cookies » du site. Le détail des cookies effectivement déposés, de leur fournisseur, de leur finalité et de leur durée doit être tenu à jour dans ce module.</w:t>
      </w:r>
    </w:p>
    <w:p>
      <w:pPr>
        <w:pStyle w:val="Heading1"/>
      </w:pPr>
      <w:r>
        <w:t>9. Vos droits</w:t>
      </w:r>
    </w:p>
    <w:p>
      <w:r>
        <w:t>Selon votre situation, vous disposez d’un droit d’accès, de rectification, d’effacement, de limitation, d’opposition, de portabilité et du droit de retirer votre consentement à tout moment. Vous pouvez également définir des directives relatives au sort de vos données après votre décès. Le retrait du consentement ne remet pas en cause les traitements déjà réalisés licitement.</w:t>
      </w:r>
    </w:p>
    <w:p>
      <w:r>
        <w:t>Pour exercer vos droits, écrivez à contact@veronica-brown.fr ou à ALIGNÉE® — Veronica Brown, 8 villa du Progrès, 94230 Cachan, en précisant votre demande. Une preuve d’identité ne sera demandée qu’en cas de doute raisonnable sur votre identité. Une réponse vous sera adressée en principe dans un délai d’un mois, délai pouvant être prolongé de deux mois si la demande est complexe ou nombreuse ; vous en serez alors informé(e).</w:t>
      </w:r>
    </w:p>
    <w:p>
      <w:pPr>
        <w:pStyle w:val="Heading1"/>
      </w:pPr>
      <w:r>
        <w:t>10. Réclamation auprès de la CNIL</w:t>
      </w:r>
    </w:p>
    <w:p>
      <w:r>
        <w:t>Si vous estimez, après avoir contacté ALIGNÉE®, que vos droits ne sont pas respectés, vous pouvez adresser une réclamation à la Commission nationale de l’informatique et des libertés (CNIL), 3 place de Fontenoy — TSA 80715 — 75334 Paris Cedex 07, ou sur www.cnil.fr.</w:t>
      </w:r>
    </w:p>
    <w:p>
      <w:pPr>
        <w:pStyle w:val="Heading1"/>
      </w:pPr>
      <w:r>
        <w:t>11. Sécurité et confidentialité</w:t>
      </w:r>
    </w:p>
    <w:p>
      <w:r>
        <w:t>ALIGNÉE® met en œuvre des mesures organisationnelles et techniques adaptées afin de limiter l’accès non autorisé, la perte, l’altération ou la divulgation des données. Aucun système n’étant totalement exempt de risque, tout incident avéré est traité conformément aux obligations applicables.</w:t>
      </w:r>
    </w:p>
    <w:p>
      <w:pPr>
        <w:pStyle w:val="Heading1"/>
      </w:pPr>
      <w:r>
        <w:t>12. Mise à jour de la politique</w:t>
      </w:r>
    </w:p>
    <w:p>
      <w:r>
        <w:t>Cette politique peut évoluer pour refléter une modification des services, des outils utilisés ou des règles applicables. La version en vigueur est celle publiée sur le site, avec sa date de mise à jour. En cas de changement important, une information adaptée sera fournie.</w:t>
      </w:r>
    </w:p>
    <w:p/>
    <w:p>
      <w:pPr>
        <w:jc w:val="center"/>
      </w:pPr>
      <w:r>
        <w:rPr>
          <w:b/>
          <w:color w:val="266B68"/>
        </w:rPr>
        <w:t>Dernière mise à jour : 20 août 2026</w:t>
      </w:r>
    </w:p>
    <w:sectPr w:rsidR="00FC693F" w:rsidRPr="0006063C" w:rsidSect="00034616">
      <w:headerReference w:type="default" r:id="rId9"/>
      <w:footerReference w:type="default" r:id="rId10"/>
      <w:pgSz w:w="11906" w:h="16838"/>
      <w:pgMar w:top="879" w:right="1020" w:bottom="822"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57276"/>
        <w:sz w:val="15"/>
      </w:rPr>
      <w:t xml:space="preserve">Politique de confidentialité  •  Mise à jour : 20 août 2026  •  Page </w:t>
    </w:r>
    <w:r>
      <w:fldChar w:fldCharType="begin"/>
      <w:instrText xml:space="preserve">PAGE</w:instrText>
      <w:fldChar w:fldCharType="separate"/>
      <w:t>1</w:t>
      <w:fldChar w:fldCharType="end"/>
    </w:r>
    <w:r>
      <w:t xml:space="preserve"> /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266B68"/>
        <w:sz w:val="16"/>
      </w:rPr>
      <w:t>ALIGNÉE®  |  VERONICA BROWN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4" w:line="259" w:lineRule="auto"/>
    </w:pPr>
    <w:rPr>
      <w:rFonts w:ascii="Aptos" w:hAnsi="Aptos"/>
      <w:color w:val="26323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266B68"/>
      <w:sz w:val="29"/>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eastAsiaTheme="majorEastAsia" w:hAnsiTheme="majorHAnsi" w:cstheme="majorBidi" w:ascii="Aptos Display" w:hAnsi="Aptos Display"/>
      <w:b/>
      <w:bCs/>
      <w:color w:val="263238"/>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Aptos Display" w:hAnsi="Aptos Display"/>
      <w:b/>
      <w:color w:val="266B6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